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AE09EE">
              <w:t>10</w:t>
            </w:r>
            <w:r>
              <w:t xml:space="preserve">» </w:t>
            </w:r>
            <w:r w:rsidR="00AE09EE">
              <w:t>дека</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5E7FAB">
        <w:rPr>
          <w:b/>
          <w:bCs/>
        </w:rPr>
        <w:t>2</w:t>
      </w:r>
      <w:r w:rsidR="001861C8">
        <w:rPr>
          <w:b/>
          <w:bCs/>
        </w:rPr>
        <w:t>4</w:t>
      </w:r>
    </w:p>
    <w:p w:rsidR="00343CF3" w:rsidRPr="00343CF3" w:rsidRDefault="00894B58" w:rsidP="00343CF3">
      <w:pPr>
        <w:ind w:left="284" w:right="-113"/>
        <w:jc w:val="center"/>
        <w:rPr>
          <w:rFonts w:ascii="Segoe UI" w:hAnsi="Segoe UI" w:cs="Segoe UI"/>
        </w:rPr>
      </w:pPr>
      <w:r w:rsidRPr="00340A80">
        <w:rPr>
          <w:b/>
        </w:rPr>
        <w:t xml:space="preserve">выполнение услуг по очистке кровель многоквартирных домов (МКД) от снега и наледи </w:t>
      </w:r>
      <w:r w:rsidRPr="00340A80">
        <w:rPr>
          <w:b/>
          <w:szCs w:val="20"/>
        </w:rPr>
        <w:t>в г. Выборг</w:t>
      </w:r>
      <w:r>
        <w:rPr>
          <w:b/>
          <w:szCs w:val="20"/>
        </w:rPr>
        <w:t>е</w:t>
      </w:r>
      <w:r w:rsidR="003113CC">
        <w:rPr>
          <w:b/>
          <w:bCs/>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5E7FAB">
        <w:rPr>
          <w:b/>
          <w:bCs/>
        </w:rPr>
        <w:t>2</w:t>
      </w:r>
      <w:r w:rsidR="001861C8">
        <w:rPr>
          <w:b/>
          <w:bCs/>
        </w:rPr>
        <w:t>4</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г. Выборг</w:t>
      </w:r>
      <w:r>
        <w:rPr>
          <w:b/>
          <w:szCs w:val="20"/>
        </w:rPr>
        <w:t>е</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9F26BC" w:rsidRPr="00340A80" w:rsidRDefault="009F26BC" w:rsidP="009F26B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9F26BC" w:rsidRPr="00340A80" w:rsidRDefault="009F26BC" w:rsidP="009F26BC">
      <w:pPr>
        <w:spacing w:before="240" w:after="240"/>
        <w:ind w:right="-1"/>
        <w:jc w:val="center"/>
        <w:rPr>
          <w:b/>
          <w:highlight w:val="white"/>
        </w:rPr>
      </w:pPr>
      <w:r w:rsidRPr="00340A80">
        <w:rPr>
          <w:b/>
          <w:highlight w:val="white"/>
        </w:rPr>
        <w:t>1. Предмет договора</w:t>
      </w:r>
    </w:p>
    <w:p w:rsidR="009F26BC" w:rsidRPr="00340A80" w:rsidRDefault="009F26BC" w:rsidP="009F26B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9F26B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9F26BC">
      <w:pPr>
        <w:tabs>
          <w:tab w:val="left" w:pos="993"/>
        </w:tabs>
        <w:ind w:right="-1" w:firstLine="567"/>
        <w:jc w:val="both"/>
      </w:pPr>
      <w:r w:rsidRPr="00340A80">
        <w:t>1.3</w:t>
      </w:r>
      <w:r>
        <w:t>.</w:t>
      </w:r>
      <w:r>
        <w:tab/>
      </w:r>
      <w:r w:rsidRPr="00340A80">
        <w:t>Действие договора осуществляется на территории г. Выборг</w:t>
      </w:r>
      <w:r>
        <w:t>.</w:t>
      </w:r>
    </w:p>
    <w:p w:rsidR="009F26BC" w:rsidRPr="00340A80" w:rsidRDefault="009F26BC" w:rsidP="009F26B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9F26BC" w:rsidRPr="00340A80" w:rsidRDefault="009F26BC" w:rsidP="009F26B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9F26B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9F26B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9F26B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9F26B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9F26BC" w:rsidRPr="00340A80" w:rsidRDefault="009F26BC" w:rsidP="009F26B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9F26BC" w:rsidRDefault="009F26BC" w:rsidP="009F26B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9F26BC">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9F26BC">
      <w:pPr>
        <w:tabs>
          <w:tab w:val="left" w:pos="993"/>
        </w:tabs>
        <w:ind w:right="-1" w:firstLine="567"/>
        <w:jc w:val="both"/>
      </w:pPr>
      <w:r w:rsidRPr="00340A80">
        <w:rPr>
          <w:highlight w:val="white"/>
        </w:rPr>
        <w:lastRenderedPageBreak/>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9F26B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9F26B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9F26BC" w:rsidRPr="00340A80" w:rsidRDefault="009F26BC" w:rsidP="009F26BC">
      <w:pPr>
        <w:spacing w:before="240" w:after="240"/>
        <w:ind w:right="-1"/>
        <w:jc w:val="center"/>
        <w:rPr>
          <w:b/>
          <w:highlight w:val="white"/>
        </w:rPr>
      </w:pPr>
      <w:r w:rsidRPr="00340A80">
        <w:rPr>
          <w:b/>
          <w:highlight w:val="white"/>
        </w:rPr>
        <w:t>4. Права и обязанности сторон</w:t>
      </w:r>
    </w:p>
    <w:p w:rsidR="009F26BC" w:rsidRPr="00340A80" w:rsidRDefault="009F26BC" w:rsidP="009F26B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9F26B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9F26B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9F26B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9F26B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9F26BC">
      <w:pPr>
        <w:tabs>
          <w:tab w:val="left" w:pos="1276"/>
        </w:tabs>
        <w:ind w:right="-1" w:firstLine="567"/>
        <w:jc w:val="both"/>
      </w:pPr>
      <w:r w:rsidRPr="00340A80">
        <w:rPr>
          <w:highlight w:val="white"/>
        </w:rPr>
        <w:t>4.2.1.</w:t>
      </w:r>
      <w:r>
        <w:tab/>
      </w:r>
      <w:r w:rsidRPr="00340A80">
        <w:t xml:space="preserve">Оказывать Услуги указанные в п.1.1. </w:t>
      </w:r>
    </w:p>
    <w:p w:rsidR="009F26BC" w:rsidRPr="00340A80" w:rsidRDefault="009F26BC" w:rsidP="009F26B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9F26B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9F26B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9F26B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9F26B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9F26B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9F26B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9F26B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9F26B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9F26BC">
      <w:pPr>
        <w:tabs>
          <w:tab w:val="left" w:pos="1276"/>
        </w:tabs>
        <w:ind w:right="-1" w:firstLine="567"/>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9F26BC">
      <w:pPr>
        <w:tabs>
          <w:tab w:val="left" w:pos="1276"/>
        </w:tabs>
        <w:ind w:right="-1" w:firstLine="567"/>
        <w:jc w:val="both"/>
      </w:pPr>
      <w:r w:rsidRPr="00340A80">
        <w:lastRenderedPageBreak/>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9F26B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9F26B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9F26B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9F26BC">
      <w:pPr>
        <w:tabs>
          <w:tab w:val="left" w:pos="993"/>
        </w:tabs>
        <w:ind w:right="-1" w:firstLine="567"/>
        <w:jc w:val="both"/>
        <w:rPr>
          <w:b/>
        </w:rPr>
      </w:pPr>
      <w:r w:rsidRPr="00901F07">
        <w:rPr>
          <w:b/>
        </w:rPr>
        <w:t>4.4.</w:t>
      </w:r>
      <w:r w:rsidRPr="00901F07">
        <w:rPr>
          <w:b/>
        </w:rPr>
        <w:tab/>
        <w:t>ИСПОЛНИТЕЛЬ вправе:</w:t>
      </w:r>
    </w:p>
    <w:p w:rsidR="009F26BC" w:rsidRPr="00340A80" w:rsidRDefault="009F26BC" w:rsidP="009F26BC">
      <w:pPr>
        <w:tabs>
          <w:tab w:val="left" w:pos="1276"/>
        </w:tabs>
        <w:ind w:right="-1" w:firstLine="567"/>
        <w:jc w:val="both"/>
        <w:rPr>
          <w:highlight w:val="white"/>
        </w:rPr>
      </w:pPr>
      <w:r>
        <w:rPr>
          <w:highlight w:val="white"/>
        </w:rPr>
        <w:t>4.4.1</w:t>
      </w:r>
      <w:r w:rsidR="00361E62">
        <w:rPr>
          <w:highlight w:val="white"/>
        </w:rPr>
        <w:t>.</w:t>
      </w:r>
      <w:r>
        <w:rPr>
          <w:highlight w:val="white"/>
        </w:rPr>
        <w:tab/>
      </w:r>
      <w:r w:rsidRPr="00340A80">
        <w:rPr>
          <w:highlight w:val="white"/>
        </w:rPr>
        <w:t>Требовать своевременной оплаты ЗАКАЗЧИКОМ оказанных ему Услуг, согласно условиям настоящего Договора.</w:t>
      </w:r>
    </w:p>
    <w:p w:rsidR="009F26BC" w:rsidRPr="00340A80" w:rsidRDefault="009F26BC" w:rsidP="009F26B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9F26BC" w:rsidRPr="00340A80" w:rsidRDefault="009F26BC" w:rsidP="00CF30AE">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CF30AE">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9F26BC" w:rsidRPr="00340A80" w:rsidRDefault="009F26BC" w:rsidP="009F26B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9F26BC" w:rsidRPr="00340A80" w:rsidRDefault="009F26BC" w:rsidP="00CF30AE">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rsidRPr="00340A80">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0,03% (ноль целых 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CF30AE">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9F26BC" w:rsidRPr="00340A80" w:rsidRDefault="009F26BC" w:rsidP="009F26BC">
      <w:pPr>
        <w:spacing w:before="240" w:after="240"/>
        <w:ind w:right="-1"/>
        <w:jc w:val="center"/>
        <w:rPr>
          <w:b/>
          <w:highlight w:val="white"/>
        </w:rPr>
      </w:pPr>
      <w:r w:rsidRPr="00340A80">
        <w:rPr>
          <w:b/>
          <w:highlight w:val="white"/>
        </w:rPr>
        <w:t>7. Обстоятельства непреодолимой силы</w:t>
      </w:r>
    </w:p>
    <w:p w:rsidR="009F26BC" w:rsidRPr="00340A80" w:rsidRDefault="009F26BC" w:rsidP="009F26B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9F26B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9F26BC">
      <w:pPr>
        <w:tabs>
          <w:tab w:val="left" w:pos="993"/>
        </w:tabs>
        <w:ind w:right="-1" w:firstLine="567"/>
        <w:jc w:val="both"/>
      </w:pPr>
    </w:p>
    <w:p w:rsidR="009F26BC" w:rsidRDefault="009F26BC" w:rsidP="009F26BC">
      <w:pPr>
        <w:spacing w:before="240" w:after="240" w:line="276" w:lineRule="auto"/>
        <w:ind w:right="-1"/>
        <w:contextualSpacing/>
        <w:jc w:val="center"/>
        <w:rPr>
          <w:b/>
          <w:highlight w:val="white"/>
        </w:rPr>
      </w:pPr>
      <w:r w:rsidRPr="00340A80">
        <w:rPr>
          <w:b/>
          <w:highlight w:val="white"/>
        </w:rPr>
        <w:t>8. Разрешение споров</w:t>
      </w:r>
    </w:p>
    <w:p w:rsidR="009F26BC" w:rsidRPr="00340A80" w:rsidRDefault="009F26BC" w:rsidP="009F26BC">
      <w:pPr>
        <w:spacing w:before="240" w:after="240" w:line="276" w:lineRule="auto"/>
        <w:ind w:right="-1"/>
        <w:contextualSpacing/>
        <w:jc w:val="center"/>
        <w:rPr>
          <w:b/>
          <w:highlight w:val="white"/>
        </w:rPr>
      </w:pPr>
    </w:p>
    <w:p w:rsidR="009F26BC" w:rsidRPr="00340A80" w:rsidRDefault="009F26BC" w:rsidP="009F26BC">
      <w:pPr>
        <w:tabs>
          <w:tab w:val="left" w:pos="993"/>
        </w:tabs>
        <w:ind w:right="-1" w:firstLine="567"/>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9F26B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9F26BC">
      <w:pPr>
        <w:tabs>
          <w:tab w:val="left" w:pos="993"/>
        </w:tabs>
        <w:ind w:right="-1" w:firstLine="567"/>
        <w:jc w:val="both"/>
      </w:pPr>
      <w:r w:rsidRPr="00340A80">
        <w:lastRenderedPageBreak/>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9F26BC">
      <w:pPr>
        <w:tabs>
          <w:tab w:val="left" w:pos="0"/>
          <w:tab w:val="left" w:pos="567"/>
        </w:tabs>
        <w:ind w:right="-1"/>
        <w:rPr>
          <w:highlight w:val="white"/>
        </w:rPr>
      </w:pPr>
      <w:r>
        <w:rPr>
          <w:highlight w:val="white"/>
        </w:rPr>
        <w:t xml:space="preserve">          </w:t>
      </w:r>
    </w:p>
    <w:p w:rsidR="009F26BC" w:rsidRPr="0060155D" w:rsidRDefault="009F26BC" w:rsidP="009F26BC">
      <w:pPr>
        <w:tabs>
          <w:tab w:val="left" w:pos="0"/>
          <w:tab w:val="left" w:pos="567"/>
        </w:tabs>
        <w:ind w:right="-1"/>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9F26B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9F26B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9F26BC" w:rsidRDefault="009F26BC" w:rsidP="009F26BC">
      <w:pPr>
        <w:tabs>
          <w:tab w:val="left" w:pos="993"/>
        </w:tabs>
        <w:ind w:right="-1" w:firstLine="567"/>
        <w:jc w:val="both"/>
      </w:pPr>
    </w:p>
    <w:p w:rsidR="009F26BC" w:rsidRPr="00340A80" w:rsidRDefault="009F26BC" w:rsidP="009F26BC">
      <w:pPr>
        <w:tabs>
          <w:tab w:val="left" w:pos="993"/>
        </w:tabs>
        <w:ind w:right="-1" w:firstLine="567"/>
        <w:jc w:val="center"/>
        <w:rPr>
          <w:b/>
          <w:highlight w:val="white"/>
        </w:rPr>
      </w:pPr>
      <w:r w:rsidRPr="00340A80">
        <w:rPr>
          <w:b/>
          <w:highlight w:val="white"/>
        </w:rPr>
        <w:t>10. Срок действия договора</w:t>
      </w:r>
    </w:p>
    <w:p w:rsidR="009F26BC" w:rsidRPr="00340A80" w:rsidRDefault="009F26BC" w:rsidP="009F26B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rsidR="00361E62">
        <w:t>3</w:t>
      </w:r>
      <w:r w:rsidRPr="00340A80">
        <w:t>.201</w:t>
      </w:r>
      <w:r>
        <w:t>9</w:t>
      </w:r>
      <w:r w:rsidRPr="00340A80">
        <w:t xml:space="preserve"> г., а в части взаиморасчетов, до полного их исполнения СТОРОНАМИ.</w:t>
      </w:r>
    </w:p>
    <w:p w:rsidR="009F26BC" w:rsidRPr="00340A80" w:rsidRDefault="009F26BC" w:rsidP="009F26BC">
      <w:pPr>
        <w:spacing w:before="240" w:after="240"/>
        <w:ind w:right="-1"/>
        <w:jc w:val="center"/>
        <w:rPr>
          <w:b/>
        </w:rPr>
      </w:pPr>
      <w:r w:rsidRPr="00340A80">
        <w:rPr>
          <w:b/>
        </w:rPr>
        <w:t>11. Заключительные положения</w:t>
      </w:r>
    </w:p>
    <w:p w:rsidR="009F26BC" w:rsidRPr="00340A80" w:rsidRDefault="009F26BC" w:rsidP="009F26B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9F26B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9F26B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9F26B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9F26B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9F26B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9F26BC">
      <w:pPr>
        <w:ind w:left="567" w:right="-1"/>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9F26BC">
      <w:pPr>
        <w:ind w:left="567" w:right="-1"/>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9F26BC">
      <w:pPr>
        <w:ind w:left="567" w:right="-1"/>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Default="00872534" w:rsidP="00872534">
      <w:pPr>
        <w:tabs>
          <w:tab w:val="num" w:pos="567"/>
        </w:tabs>
        <w:rPr>
          <w:b/>
        </w:rPr>
      </w:pPr>
      <w:r>
        <w:rPr>
          <w:b/>
        </w:rPr>
        <w:t>АО «</w:t>
      </w:r>
      <w:proofErr w:type="spellStart"/>
      <w:r>
        <w:rPr>
          <w:b/>
        </w:rPr>
        <w:t>Выборгтеплоэнерго</w:t>
      </w:r>
      <w:proofErr w:type="spellEnd"/>
      <w:r>
        <w:rPr>
          <w:b/>
        </w:rPr>
        <w:t>»</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w:t>
      </w:r>
      <w:proofErr w:type="spellStart"/>
      <w:r>
        <w:rPr>
          <w:b/>
        </w:rPr>
        <w:t>Выборгтеплоэнерго</w:t>
      </w:r>
      <w:proofErr w:type="spellEnd"/>
      <w:r>
        <w:rPr>
          <w:b/>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5E7FAB">
        <w:t>43</w:t>
      </w:r>
      <w:r w:rsidRPr="00B864A0">
        <w:rPr>
          <w:b/>
        </w:rPr>
        <w:t xml:space="preserve"> </w:t>
      </w:r>
      <w:r w:rsidRPr="00B864A0">
        <w:t>ру</w:t>
      </w:r>
      <w:r>
        <w:t xml:space="preserve">блей </w:t>
      </w:r>
      <w:r w:rsidR="005E7FAB">
        <w:t>50</w:t>
      </w:r>
      <w:r>
        <w:t xml:space="preserve">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C0DA0" w:rsidRPr="005633BC" w:rsidRDefault="006C0DA0" w:rsidP="008D6CCA">
            <w:pPr>
              <w:ind w:left="-73" w:right="-1"/>
            </w:pPr>
            <w:r>
              <w:t>В</w:t>
            </w:r>
            <w:r w:rsidRPr="005633BC">
              <w:t>ыполнение услуг по очистке кровель многоквартирных домов (МКД) от снега и наледи в г. Выборг</w:t>
            </w:r>
            <w:r w:rsidR="00D64E82">
              <w:t>.</w:t>
            </w: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361E62">
              <w:t>3</w:t>
            </w:r>
            <w:r w:rsidRPr="006C0DA0">
              <w:t xml:space="preserve">.2019 г. </w:t>
            </w:r>
          </w:p>
          <w:p w:rsidR="006C0DA0" w:rsidRPr="005633BC" w:rsidRDefault="006C0DA0" w:rsidP="006C0DA0">
            <w:pPr>
              <w:tabs>
                <w:tab w:val="left" w:pos="-1620"/>
                <w:tab w:val="left" w:pos="142"/>
                <w:tab w:val="left" w:pos="426"/>
              </w:tabs>
              <w:jc w:val="both"/>
            </w:pPr>
            <w:r w:rsidRPr="005633BC">
              <w:t>Место поставки товара, выполнения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5E7FAB" w:rsidP="005E7FAB">
            <w:pPr>
              <w:ind w:right="153"/>
              <w:jc w:val="both"/>
              <w:rPr>
                <w:bCs/>
              </w:rPr>
            </w:pPr>
            <w:r>
              <w:rPr>
                <w:bCs/>
              </w:rPr>
              <w:t>28</w:t>
            </w:r>
            <w:r w:rsidR="002E6773">
              <w:rPr>
                <w:bCs/>
              </w:rPr>
              <w:t>.</w:t>
            </w:r>
            <w:r w:rsidR="00872534">
              <w:rPr>
                <w:bCs/>
              </w:rPr>
              <w:t>1</w:t>
            </w:r>
            <w:r>
              <w:rPr>
                <w:bCs/>
              </w:rPr>
              <w:t>1</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4465C7" w:rsidRDefault="00E44D31" w:rsidP="008D6CCA">
            <w:pPr>
              <w:pStyle w:val="3a"/>
              <w:ind w:left="0"/>
              <w:rPr>
                <w:b/>
                <w:snapToGrid w:val="0"/>
                <w:szCs w:val="24"/>
              </w:rPr>
            </w:pPr>
            <w:r w:rsidRPr="005633BC">
              <w:rPr>
                <w:b/>
                <w:snapToGrid w:val="0"/>
                <w:szCs w:val="24"/>
              </w:rPr>
              <w:t xml:space="preserve">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p>
          <w:p w:rsidR="00E44D31" w:rsidRDefault="005E7FAB" w:rsidP="008D6CCA">
            <w:pPr>
              <w:pStyle w:val="3a"/>
              <w:ind w:left="0"/>
              <w:rPr>
                <w:b/>
                <w:snapToGrid w:val="0"/>
                <w:szCs w:val="24"/>
              </w:rPr>
            </w:pPr>
            <w:r w:rsidRPr="005E7FAB">
              <w:rPr>
                <w:b/>
                <w:snapToGrid w:val="0"/>
                <w:szCs w:val="24"/>
              </w:rPr>
              <w:t>43</w:t>
            </w:r>
            <w:r w:rsidR="00E44D31" w:rsidRPr="005E7FAB">
              <w:rPr>
                <w:b/>
                <w:snapToGrid w:val="0"/>
                <w:szCs w:val="24"/>
              </w:rPr>
              <w:t xml:space="preserve"> (</w:t>
            </w:r>
            <w:r w:rsidRPr="005E7FAB">
              <w:rPr>
                <w:b/>
                <w:snapToGrid w:val="0"/>
                <w:szCs w:val="24"/>
              </w:rPr>
              <w:t>Сорок</w:t>
            </w:r>
            <w:r>
              <w:rPr>
                <w:b/>
                <w:snapToGrid w:val="0"/>
                <w:szCs w:val="24"/>
              </w:rPr>
              <w:t xml:space="preserve"> три</w:t>
            </w:r>
            <w:r w:rsidR="00E44D31" w:rsidRPr="008F3C24">
              <w:rPr>
                <w:b/>
                <w:snapToGrid w:val="0"/>
                <w:szCs w:val="24"/>
              </w:rPr>
              <w:t>) рубл</w:t>
            </w:r>
            <w:r>
              <w:rPr>
                <w:b/>
                <w:snapToGrid w:val="0"/>
                <w:szCs w:val="24"/>
              </w:rPr>
              <w:t>я 5</w:t>
            </w:r>
            <w:r w:rsidR="00E44D31" w:rsidRPr="008F3C24">
              <w:rPr>
                <w:b/>
                <w:snapToGrid w:val="0"/>
                <w:szCs w:val="24"/>
              </w:rPr>
              <w:t>0 копеек за 1</w:t>
            </w:r>
            <w:r w:rsidR="00E44D31">
              <w:rPr>
                <w:b/>
                <w:snapToGrid w:val="0"/>
                <w:szCs w:val="24"/>
              </w:rPr>
              <w:t>(один)</w:t>
            </w:r>
            <w:r w:rsidR="00E44D31" w:rsidRPr="008F3C24">
              <w:rPr>
                <w:b/>
                <w:snapToGrid w:val="0"/>
                <w:szCs w:val="24"/>
              </w:rPr>
              <w:t xml:space="preserve"> м</w:t>
            </w:r>
            <w:r w:rsidR="00E44D31">
              <w:rPr>
                <w:b/>
                <w:snapToGrid w:val="0"/>
                <w:szCs w:val="24"/>
              </w:rPr>
              <w:t xml:space="preserve">. </w:t>
            </w:r>
            <w:r w:rsidR="00E44D31"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w:t>
            </w:r>
            <w:r w:rsidRPr="005633BC">
              <w:rPr>
                <w:szCs w:val="24"/>
              </w:rPr>
              <w:lastRenderedPageBreak/>
              <w:t>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CE1210" w:rsidRDefault="00E44D31" w:rsidP="008D6CCA">
            <w:pPr>
              <w:spacing w:before="100" w:beforeAutospacing="1" w:after="100" w:afterAutospacing="1"/>
            </w:pPr>
            <w:r>
              <w:t xml:space="preserve">- </w:t>
            </w:r>
            <w:r w:rsidRPr="00CE1210">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lastRenderedPageBreak/>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076F9F" w:rsidRPr="004465C7">
              <w:t>29</w:t>
            </w:r>
            <w:r w:rsidRPr="004465C7">
              <w:t xml:space="preserve">» </w:t>
            </w:r>
            <w:r w:rsidR="00076F9F" w:rsidRPr="004465C7">
              <w:t>но</w:t>
            </w:r>
            <w:r w:rsidRPr="004465C7">
              <w:t>ября 2018 г.</w:t>
            </w:r>
          </w:p>
          <w:p w:rsidR="00E44D31" w:rsidRPr="004465C7" w:rsidRDefault="00E44D31" w:rsidP="008D6CCA">
            <w:pPr>
              <w:spacing w:before="100" w:beforeAutospacing="1" w:after="100" w:afterAutospacing="1"/>
            </w:pPr>
            <w:r w:rsidRPr="004465C7">
              <w:t xml:space="preserve">Место </w:t>
            </w:r>
            <w:r w:rsidR="00B864A0" w:rsidRPr="004465C7">
              <w:t>подачи заявок</w:t>
            </w:r>
            <w:r w:rsidRPr="004465C7">
              <w:t xml:space="preserve">: Российская Федерация, Ленинградская область, Выборгский район, г. Выборг, ул. Железнодорожная 2-4, </w:t>
            </w:r>
            <w:proofErr w:type="spellStart"/>
            <w:r w:rsidRPr="004465C7">
              <w:t>каб</w:t>
            </w:r>
            <w:proofErr w:type="spellEnd"/>
            <w:r w:rsidRPr="004465C7">
              <w:t>. 6.</w:t>
            </w:r>
          </w:p>
          <w:p w:rsidR="0001147A" w:rsidRPr="004465C7" w:rsidRDefault="00076F9F" w:rsidP="008D6CCA">
            <w:pPr>
              <w:spacing w:before="100" w:beforeAutospacing="1" w:after="100" w:afterAutospacing="1"/>
            </w:pPr>
            <w:r w:rsidRPr="004465C7">
              <w:t>С</w:t>
            </w:r>
            <w:r w:rsidR="0001147A" w:rsidRPr="004465C7">
              <w:t>рок подачи заявок до «</w:t>
            </w:r>
            <w:r w:rsidR="00AE09EE">
              <w:t>1</w:t>
            </w:r>
            <w:r w:rsidRPr="004465C7">
              <w:t>7</w:t>
            </w:r>
            <w:r w:rsidR="0001147A" w:rsidRPr="004465C7">
              <w:t xml:space="preserve">» </w:t>
            </w:r>
            <w:r w:rsidRPr="004465C7">
              <w:t>декабря</w:t>
            </w:r>
            <w:r w:rsidR="0001147A" w:rsidRPr="004465C7">
              <w:t xml:space="preserve"> 2018 г. 1</w:t>
            </w:r>
            <w:r w:rsidR="00AE09EE">
              <w:t>7</w:t>
            </w:r>
            <w:r w:rsidR="0001147A" w:rsidRPr="004465C7">
              <w:t>.00 час.</w:t>
            </w:r>
          </w:p>
          <w:p w:rsidR="004465C7" w:rsidRPr="004465C7" w:rsidRDefault="004465C7" w:rsidP="004465C7">
            <w:pPr>
              <w:spacing w:before="100" w:beforeAutospacing="1" w:after="100" w:afterAutospacing="1"/>
            </w:pPr>
            <w:r w:rsidRPr="004465C7">
              <w:t>Вскрыти</w:t>
            </w:r>
            <w:r>
              <w:t>е</w:t>
            </w:r>
            <w:r w:rsidRPr="004465C7">
              <w:t xml:space="preserve"> конвертов с заявками: по адресу: г. Выборг, </w:t>
            </w:r>
            <w:proofErr w:type="gramStart"/>
            <w:r w:rsidRPr="004465C7">
              <w:t>Железнодорожная</w:t>
            </w:r>
            <w:proofErr w:type="gramEnd"/>
            <w:r w:rsidRPr="004465C7">
              <w:t xml:space="preserve"> ул., д. 2-4. </w:t>
            </w:r>
          </w:p>
          <w:p w:rsidR="00E44D31" w:rsidRPr="005633BC" w:rsidRDefault="004E4619" w:rsidP="00AE09EE">
            <w:pPr>
              <w:spacing w:before="100" w:beforeAutospacing="1" w:after="100" w:afterAutospacing="1"/>
            </w:pPr>
            <w:r w:rsidRPr="004465C7">
              <w:t>Д</w:t>
            </w:r>
            <w:r w:rsidR="00E44D31" w:rsidRPr="004465C7">
              <w:t>ата вскрытия: «</w:t>
            </w:r>
            <w:r w:rsidR="001D55B4" w:rsidRPr="004465C7">
              <w:t>1</w:t>
            </w:r>
            <w:r w:rsidR="00AE09EE">
              <w:t>8</w:t>
            </w:r>
            <w:r w:rsidR="00E44D31" w:rsidRPr="004465C7">
              <w:t xml:space="preserve">» </w:t>
            </w:r>
            <w:r w:rsidR="00076F9F" w:rsidRPr="004465C7">
              <w:t>декабря</w:t>
            </w:r>
            <w:r w:rsidR="00E44D31" w:rsidRPr="004465C7">
              <w:t xml:space="preserve"> 201</w:t>
            </w:r>
            <w:r w:rsidRPr="004465C7">
              <w:t>8</w:t>
            </w:r>
            <w:r w:rsidR="00E44D31" w:rsidRPr="004465C7">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1D55B4">
              <w:rPr>
                <w:bCs w:val="0"/>
                <w:color w:val="000000" w:themeColor="text1"/>
                <w:szCs w:val="24"/>
              </w:rPr>
              <w:t>1</w:t>
            </w:r>
            <w:r w:rsidR="00AE09EE">
              <w:rPr>
                <w:bCs w:val="0"/>
                <w:color w:val="000000" w:themeColor="text1"/>
                <w:szCs w:val="24"/>
              </w:rPr>
              <w:t>8</w:t>
            </w:r>
            <w:bookmarkStart w:id="26" w:name="_GoBack"/>
            <w:bookmarkEnd w:id="26"/>
            <w:r w:rsidR="00E44D31" w:rsidRPr="002E6773">
              <w:rPr>
                <w:bCs w:val="0"/>
                <w:color w:val="000000" w:themeColor="text1"/>
                <w:szCs w:val="24"/>
              </w:rPr>
              <w:t xml:space="preserve">» </w:t>
            </w:r>
            <w:r w:rsidR="00076F9F">
              <w:rPr>
                <w:bCs w:val="0"/>
                <w:color w:val="000000" w:themeColor="text1"/>
                <w:szCs w:val="24"/>
              </w:rPr>
              <w:t>декабря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w:t>
            </w:r>
            <w:r w:rsidRPr="005633BC">
              <w:lastRenderedPageBreak/>
              <w:t>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7E44AC"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pPr>
              <w:ind w:right="-1"/>
            </w:pPr>
            <w:r w:rsidRPr="00033A8F">
              <w:rPr>
                <w:b/>
              </w:rPr>
              <w:t xml:space="preserve">Выполнение услуг по очистке кровель многоквартирных домов (МКД) от снега и наледи </w:t>
            </w:r>
            <w:r w:rsidRPr="00033A8F">
              <w:rPr>
                <w:b/>
                <w:bCs/>
              </w:rPr>
              <w:br/>
            </w:r>
            <w:r w:rsidRPr="00033A8F">
              <w:rPr>
                <w:b/>
                <w:bCs/>
                <w:u w:val="single"/>
              </w:rPr>
              <w:t>г. Выборг</w:t>
            </w:r>
            <w:r w:rsidRPr="00033A8F">
              <w:br/>
              <w:t>Работы выполняются с использованием материалов и инструментов Подрядчика.</w:t>
            </w:r>
          </w:p>
        </w:tc>
      </w:tr>
      <w:tr w:rsidR="007E44AC"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2</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1117A8">
              <w:rPr>
                <w:bCs/>
              </w:rPr>
              <w:t>По заявкам Заказчика (МКД, находящиеся в</w:t>
            </w:r>
            <w:r>
              <w:rPr>
                <w:bCs/>
              </w:rPr>
              <w:t>о временном</w:t>
            </w:r>
            <w:r w:rsidRPr="001117A8">
              <w:rPr>
                <w:bCs/>
              </w:rPr>
              <w:t xml:space="preserve"> управлении АО «</w:t>
            </w:r>
            <w:proofErr w:type="spellStart"/>
            <w:r>
              <w:rPr>
                <w:bCs/>
              </w:rPr>
              <w:t>Выборгтеплоэнерго</w:t>
            </w:r>
            <w:proofErr w:type="spellEnd"/>
            <w:r w:rsidRPr="001117A8">
              <w:rPr>
                <w:bCs/>
              </w:rPr>
              <w:t>»</w:t>
            </w:r>
            <w:r w:rsidR="009813C9">
              <w:rPr>
                <w:bCs/>
              </w:rPr>
              <w:t>)</w:t>
            </w:r>
          </w:p>
        </w:tc>
      </w:tr>
      <w:tr w:rsidR="007E44AC"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3</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7E44AC" w:rsidRPr="007E44AC" w:rsidRDefault="007E44AC" w:rsidP="008D6CCA">
            <w:r w:rsidRPr="007E44AC">
              <w:rPr>
                <w:color w:val="000000"/>
              </w:rPr>
              <w:t>определяется по фактическому выполнению, согласованным заказчиком</w:t>
            </w:r>
          </w:p>
        </w:tc>
      </w:tr>
      <w:tr w:rsidR="007E44AC"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4</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7E44AC" w:rsidRPr="007E44AC" w:rsidRDefault="007E44AC" w:rsidP="008D6CCA">
            <w:r w:rsidRPr="007E44AC">
              <w:t>- Очистка кровель от снега и льда;</w:t>
            </w:r>
          </w:p>
          <w:p w:rsidR="007E44AC" w:rsidRPr="007E44AC" w:rsidRDefault="007E44AC" w:rsidP="008D6CCA">
            <w:r w:rsidRPr="007E44AC">
              <w:t>- Очистка водосточных воронок от наледи и сосулек;</w:t>
            </w:r>
          </w:p>
          <w:p w:rsidR="007E44AC" w:rsidRPr="007E44AC" w:rsidRDefault="007E44AC" w:rsidP="008D6CCA">
            <w:r w:rsidRPr="007E44AC">
              <w:t xml:space="preserve">- Очистка от наледи и сосулек карнизов и других элементов фасадов зданий; </w:t>
            </w:r>
          </w:p>
          <w:p w:rsidR="007E44AC" w:rsidRPr="007E44AC" w:rsidRDefault="007E44AC" w:rsidP="008D6CCA">
            <w:pPr>
              <w:tabs>
                <w:tab w:val="left" w:pos="34"/>
                <w:tab w:val="left" w:pos="176"/>
                <w:tab w:val="left" w:pos="318"/>
                <w:tab w:val="left" w:pos="459"/>
              </w:tabs>
              <w:ind w:right="-1"/>
            </w:pPr>
            <w:r w:rsidRPr="007E44AC">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7E44AC" w:rsidRPr="007E44AC" w:rsidRDefault="007E44AC" w:rsidP="008D6CCA"/>
        </w:tc>
      </w:tr>
      <w:tr w:rsidR="007E44AC"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5</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7E44AC" w:rsidRPr="00033A8F" w:rsidRDefault="007E44AC" w:rsidP="008D6CCA">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E5" w:rsidRDefault="003008E5">
      <w:r>
        <w:separator/>
      </w:r>
    </w:p>
  </w:endnote>
  <w:endnote w:type="continuationSeparator" w:id="0">
    <w:p w:rsidR="003008E5" w:rsidRDefault="0030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E5" w:rsidRDefault="003008E5">
      <w:r>
        <w:separator/>
      </w:r>
    </w:p>
  </w:footnote>
  <w:footnote w:type="continuationSeparator" w:id="0">
    <w:p w:rsidR="003008E5" w:rsidRDefault="00300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327C"/>
    <w:rsid w:val="00036B31"/>
    <w:rsid w:val="0003717F"/>
    <w:rsid w:val="00046BA9"/>
    <w:rsid w:val="00051953"/>
    <w:rsid w:val="00066293"/>
    <w:rsid w:val="00070CE8"/>
    <w:rsid w:val="00076F9F"/>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62CE"/>
    <w:rsid w:val="00197792"/>
    <w:rsid w:val="001A2D6B"/>
    <w:rsid w:val="001A3BFD"/>
    <w:rsid w:val="001D55B4"/>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008E5"/>
    <w:rsid w:val="003106B0"/>
    <w:rsid w:val="003113CC"/>
    <w:rsid w:val="00316259"/>
    <w:rsid w:val="00321782"/>
    <w:rsid w:val="00326BC1"/>
    <w:rsid w:val="00327DB2"/>
    <w:rsid w:val="003338DC"/>
    <w:rsid w:val="0033571D"/>
    <w:rsid w:val="00342C37"/>
    <w:rsid w:val="00343CF3"/>
    <w:rsid w:val="0034466F"/>
    <w:rsid w:val="00350FEC"/>
    <w:rsid w:val="00361E62"/>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E7FA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33584"/>
    <w:rsid w:val="008349BA"/>
    <w:rsid w:val="00835171"/>
    <w:rsid w:val="008435A6"/>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598"/>
    <w:rsid w:val="00942849"/>
    <w:rsid w:val="00944FCC"/>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D1CF0"/>
    <w:rsid w:val="009D2E1B"/>
    <w:rsid w:val="009D3DFC"/>
    <w:rsid w:val="009D6E9D"/>
    <w:rsid w:val="009D7165"/>
    <w:rsid w:val="009E2923"/>
    <w:rsid w:val="009F099E"/>
    <w:rsid w:val="009F2449"/>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E09EE"/>
    <w:rsid w:val="00AF66A2"/>
    <w:rsid w:val="00B11536"/>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1210"/>
    <w:rsid w:val="00CE4424"/>
    <w:rsid w:val="00CF30AE"/>
    <w:rsid w:val="00CF4390"/>
    <w:rsid w:val="00D004BF"/>
    <w:rsid w:val="00D02E3D"/>
    <w:rsid w:val="00D033B9"/>
    <w:rsid w:val="00D149BD"/>
    <w:rsid w:val="00D21689"/>
    <w:rsid w:val="00D36667"/>
    <w:rsid w:val="00D4695A"/>
    <w:rsid w:val="00D47F48"/>
    <w:rsid w:val="00D513CE"/>
    <w:rsid w:val="00D64E82"/>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F65"/>
    <w:rsid w:val="00E93C57"/>
    <w:rsid w:val="00EA4C74"/>
    <w:rsid w:val="00EB118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14D3-D9D3-4A28-A9C2-F4BFA3ED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9690</Words>
  <Characters>55237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64798</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61</cp:revision>
  <cp:lastPrinted>2018-11-28T11:27:00Z</cp:lastPrinted>
  <dcterms:created xsi:type="dcterms:W3CDTF">2018-08-08T08:29:00Z</dcterms:created>
  <dcterms:modified xsi:type="dcterms:W3CDTF">2018-12-10T10:55:00Z</dcterms:modified>
</cp:coreProperties>
</file>